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5B545" w14:textId="77777777" w:rsidR="0047717E" w:rsidRDefault="00BC3145">
      <w:pPr>
        <w:pStyle w:val="TitleCEDA"/>
        <w:jc w:val="center"/>
      </w:pPr>
      <w:r>
        <w:t>Termeni de Referință</w:t>
      </w:r>
    </w:p>
    <w:p w14:paraId="1DB8149A" w14:textId="77777777" w:rsidR="0047717E" w:rsidRDefault="00BC3145">
      <w:pPr>
        <w:jc w:val="center"/>
      </w:pPr>
      <w:r>
        <w:rPr>
          <w:i/>
          <w:color w:val="5A5A5A"/>
        </w:rPr>
        <w:t>Selectarea unei locații și a serviciilor logistice aferente pentru organizarea unui eveniment național</w:t>
      </w:r>
    </w:p>
    <w:p w14:paraId="39FB073A" w14:textId="77777777" w:rsidR="0047717E" w:rsidRDefault="0047717E"/>
    <w:p w14:paraId="6E510725" w14:textId="77777777" w:rsidR="0047717E" w:rsidRDefault="00BC3145">
      <w:pPr>
        <w:pBdr>
          <w:top w:val="single" w:sz="8" w:space="1" w:color="D9E3F0"/>
          <w:left w:val="single" w:sz="8" w:space="1" w:color="D9E3F0"/>
          <w:bottom w:val="single" w:sz="8" w:space="1" w:color="D9E3F0"/>
          <w:right w:val="single" w:sz="8" w:space="1" w:color="D9E3F0"/>
        </w:pBdr>
        <w:spacing w:after="160"/>
      </w:pPr>
      <w:proofErr w:type="spellStart"/>
      <w:r>
        <w:t>Proiect</w:t>
      </w:r>
      <w:proofErr w:type="spellEnd"/>
      <w:r>
        <w:t xml:space="preserve">: </w:t>
      </w:r>
      <w:r>
        <w:t>I-PATH Next Step / Innovative Path to Inclusive Employment</w:t>
      </w:r>
      <w:r>
        <w:br/>
      </w:r>
      <w:proofErr w:type="spellStart"/>
      <w:r>
        <w:t>Organizație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: AO Centrul pentru Educație </w:t>
      </w:r>
      <w:r>
        <w:t>Antreprenorială și Asistență în Afaceri (CEDA)</w:t>
      </w:r>
      <w:r>
        <w:br/>
        <w:t>Donator: Norwegian Refugee Council (NRC)</w:t>
      </w:r>
    </w:p>
    <w:p w14:paraId="358C16CB" w14:textId="77777777" w:rsidR="0047717E" w:rsidRDefault="00BC3145">
      <w:pPr>
        <w:pStyle w:val="HeadingCEDA"/>
        <w:spacing w:before="200" w:after="80"/>
      </w:pPr>
      <w:r>
        <w:t>1. Context și justificare</w:t>
      </w:r>
    </w:p>
    <w:p w14:paraId="5A53496E" w14:textId="77777777" w:rsidR="0047717E" w:rsidRDefault="00BC3145" w:rsidP="006A5F86">
      <w:pPr>
        <w:spacing w:after="100"/>
        <w:jc w:val="both"/>
      </w:pPr>
      <w:r>
        <w:t>În cadrul proiectului I-PATH Next Step / Innovative Path to Inclusive Employment, implementat de CEDA cu suportul Norwegian Refugee Council (N</w:t>
      </w:r>
      <w:r>
        <w:t>RC), este planificată organizarea unui eveniment național de tip Job Fair / National Employment Linkages Event în municipiul Chișinău.</w:t>
      </w:r>
    </w:p>
    <w:p w14:paraId="4834D914" w14:textId="77777777" w:rsidR="0047717E" w:rsidRDefault="00BC3145" w:rsidP="006A5F86">
      <w:pPr>
        <w:spacing w:after="100"/>
        <w:jc w:val="both"/>
      </w:pPr>
      <w:r>
        <w:t>Evenimentul are rolul de a crea legături directe între persoanele aflate în căutarea unui loc de muncă, angajatori, insti</w:t>
      </w:r>
      <w:r>
        <w:t>tuții publice, parteneri locali și alți actori relevanți, contribuind la facilitarea accesului la oportunități de ocupare și la consolidarea cooperării interinstituționale.</w:t>
      </w:r>
    </w:p>
    <w:p w14:paraId="2E789F1F" w14:textId="77777777" w:rsidR="0047717E" w:rsidRDefault="00BC3145" w:rsidP="006A5F86">
      <w:pPr>
        <w:spacing w:after="100"/>
        <w:jc w:val="both"/>
      </w:pPr>
      <w:r>
        <w:t>Pentru buna desfășurare a activității, CEDA va selecta o companie/instituție care p</w:t>
      </w:r>
      <w:r>
        <w:t>oate pune la dispoziție o locație adecvată și servicii logistice aferente, conform cerințelor de mai jos.</w:t>
      </w:r>
    </w:p>
    <w:p w14:paraId="647D2D58" w14:textId="77777777" w:rsidR="0047717E" w:rsidRDefault="00BC3145">
      <w:pPr>
        <w:pStyle w:val="HeadingCEDA"/>
        <w:spacing w:before="200" w:after="80"/>
      </w:pPr>
      <w:r>
        <w:t>2. Obiectivul contractării</w:t>
      </w:r>
    </w:p>
    <w:p w14:paraId="314174F1" w14:textId="77777777" w:rsidR="0047717E" w:rsidRDefault="00BC3145" w:rsidP="0073704F">
      <w:pPr>
        <w:spacing w:after="80"/>
        <w:jc w:val="both"/>
      </w:pPr>
      <w:r>
        <w:t>Selectarea unei locații în municipiul Chișinău, împreună cu serviciile logistice aferente, pentru organizarea în condiții o</w:t>
      </w:r>
      <w:r>
        <w:t xml:space="preserve">ptime </w:t>
      </w:r>
      <w:proofErr w:type="gramStart"/>
      <w:r>
        <w:t>a</w:t>
      </w:r>
      <w:proofErr w:type="gramEnd"/>
      <w:r>
        <w:t xml:space="preserve"> evenimentului național programat pentru data de </w:t>
      </w:r>
      <w:r w:rsidRPr="0073704F">
        <w:rPr>
          <w:b/>
          <w:bCs/>
        </w:rPr>
        <w:t>21 mai 2026</w:t>
      </w:r>
      <w:r>
        <w:t>.</w:t>
      </w:r>
    </w:p>
    <w:p w14:paraId="37301193" w14:textId="77777777" w:rsidR="0047717E" w:rsidRDefault="00BC3145">
      <w:pPr>
        <w:pStyle w:val="HeadingCEDA"/>
        <w:spacing w:before="200" w:after="80"/>
      </w:pPr>
      <w:r>
        <w:t>3. Informații generale despre eveniment</w:t>
      </w:r>
    </w:p>
    <w:tbl>
      <w:tblPr>
        <w:tblW w:w="0" w:type="auto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47717E" w14:paraId="12E2D9FE" w14:textId="77777777" w:rsidTr="0073704F">
        <w:trPr>
          <w:jc w:val="center"/>
        </w:trPr>
        <w:tc>
          <w:tcPr>
            <w:tcW w:w="2835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1F0DF1" w14:textId="77777777" w:rsidR="0047717E" w:rsidRDefault="00BC3145">
            <w:r>
              <w:rPr>
                <w:b/>
              </w:rPr>
              <w:t>Denumire orientativă</w:t>
            </w:r>
          </w:p>
        </w:tc>
        <w:tc>
          <w:tcPr>
            <w:tcW w:w="6236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66B2B7" w14:textId="77777777" w:rsidR="0047717E" w:rsidRDefault="00BC3145">
            <w:r>
              <w:t>Job Fair / National Employment Linkages Event</w:t>
            </w:r>
          </w:p>
        </w:tc>
      </w:tr>
      <w:tr w:rsidR="0047717E" w14:paraId="151CA0C8" w14:textId="77777777" w:rsidTr="0073704F">
        <w:trPr>
          <w:jc w:val="center"/>
        </w:trPr>
        <w:tc>
          <w:tcPr>
            <w:tcW w:w="2835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D1B201" w14:textId="77777777" w:rsidR="0047717E" w:rsidRDefault="00BC3145">
            <w:r>
              <w:rPr>
                <w:b/>
              </w:rPr>
              <w:t>Data desfășurării</w:t>
            </w:r>
          </w:p>
        </w:tc>
        <w:tc>
          <w:tcPr>
            <w:tcW w:w="6236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A683D7" w14:textId="77777777" w:rsidR="0047717E" w:rsidRDefault="00BC3145">
            <w:r>
              <w:t>21 mai 2026</w:t>
            </w:r>
          </w:p>
        </w:tc>
      </w:tr>
      <w:tr w:rsidR="0047717E" w14:paraId="53B17239" w14:textId="77777777" w:rsidTr="0073704F">
        <w:trPr>
          <w:jc w:val="center"/>
        </w:trPr>
        <w:tc>
          <w:tcPr>
            <w:tcW w:w="2835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50CBB0" w14:textId="77777777" w:rsidR="0047717E" w:rsidRDefault="00BC3145">
            <w:r>
              <w:rPr>
                <w:b/>
              </w:rPr>
              <w:t>Durata estimată</w:t>
            </w:r>
          </w:p>
        </w:tc>
        <w:tc>
          <w:tcPr>
            <w:tcW w:w="6236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A2C6CC" w14:textId="77777777" w:rsidR="0047717E" w:rsidRDefault="00BC3145">
            <w:r>
              <w:t xml:space="preserve">8 ore, pe parcursul </w:t>
            </w:r>
            <w:r>
              <w:t>întregii zile</w:t>
            </w:r>
          </w:p>
        </w:tc>
      </w:tr>
      <w:tr w:rsidR="0047717E" w14:paraId="3AC8570B" w14:textId="77777777" w:rsidTr="0073704F">
        <w:trPr>
          <w:jc w:val="center"/>
        </w:trPr>
        <w:tc>
          <w:tcPr>
            <w:tcW w:w="2835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77E70C" w14:textId="77777777" w:rsidR="0047717E" w:rsidRDefault="00BC3145">
            <w:r>
              <w:rPr>
                <w:b/>
              </w:rPr>
              <w:t>Locația solicitată</w:t>
            </w:r>
          </w:p>
        </w:tc>
        <w:tc>
          <w:tcPr>
            <w:tcW w:w="6236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E7983D" w14:textId="77777777" w:rsidR="0047717E" w:rsidRDefault="00BC3145">
            <w:r>
              <w:t>Municipiul Chișinău</w:t>
            </w:r>
          </w:p>
        </w:tc>
      </w:tr>
      <w:tr w:rsidR="0047717E" w14:paraId="16BC7306" w14:textId="77777777" w:rsidTr="0073704F">
        <w:trPr>
          <w:jc w:val="center"/>
        </w:trPr>
        <w:tc>
          <w:tcPr>
            <w:tcW w:w="2835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C016A4" w14:textId="77777777" w:rsidR="0047717E" w:rsidRDefault="00BC3145">
            <w:r>
              <w:rPr>
                <w:b/>
              </w:rPr>
              <w:t>Organizator</w:t>
            </w:r>
          </w:p>
        </w:tc>
        <w:tc>
          <w:tcPr>
            <w:tcW w:w="6236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315CA9" w14:textId="77777777" w:rsidR="0047717E" w:rsidRDefault="00BC3145">
            <w:r>
              <w:t>CEDA, în cadrul proiectului I-PATH Next Step</w:t>
            </w:r>
          </w:p>
        </w:tc>
      </w:tr>
      <w:tr w:rsidR="0047717E" w14:paraId="29FF525D" w14:textId="77777777" w:rsidTr="0073704F">
        <w:trPr>
          <w:jc w:val="center"/>
        </w:trPr>
        <w:tc>
          <w:tcPr>
            <w:tcW w:w="2835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95666D" w14:textId="77777777" w:rsidR="0047717E" w:rsidRDefault="00BC3145">
            <w:r>
              <w:rPr>
                <w:b/>
              </w:rPr>
              <w:t>Participanți estimați</w:t>
            </w:r>
          </w:p>
        </w:tc>
        <w:tc>
          <w:tcPr>
            <w:tcW w:w="6236" w:type="dxa"/>
            <w:shd w:val="clear" w:color="auto" w:fill="FFFFFF" w:themeFill="background1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8734BF" w14:textId="77777777" w:rsidR="0047717E" w:rsidRDefault="00BC3145">
            <w:r>
              <w:t>Aproximativ 500 persoane</w:t>
            </w:r>
          </w:p>
        </w:tc>
      </w:tr>
    </w:tbl>
    <w:p w14:paraId="43077E7F" w14:textId="38B68B5B" w:rsidR="0047717E" w:rsidRDefault="0047717E"/>
    <w:p w14:paraId="4E0CFC7F" w14:textId="77777777" w:rsidR="0073704F" w:rsidRDefault="0073704F"/>
    <w:p w14:paraId="118C9745" w14:textId="77777777" w:rsidR="0047717E" w:rsidRDefault="00BC3145">
      <w:pPr>
        <w:pStyle w:val="HeadingCEDA"/>
        <w:spacing w:before="200" w:after="80"/>
      </w:pPr>
      <w:r>
        <w:lastRenderedPageBreak/>
        <w:t>4. Cerințe minime privind spațiul și logistica</w:t>
      </w:r>
    </w:p>
    <w:p w14:paraId="5993F055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O sală mare, disponibilă exclusiv pentru even</w:t>
      </w:r>
      <w:r>
        <w:t>iment, cu capacitatea de a găzdui aproximativ 500 de persoane.</w:t>
      </w:r>
    </w:p>
    <w:p w14:paraId="1B77C48C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Trei săli suplimentare, fiecare cu o capacitate de aproximativ 50 de persoane, pentru sesiuni paralele, discuții tematice sau întâlniri de lucru.</w:t>
      </w:r>
    </w:p>
    <w:p w14:paraId="5CBBF644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 xml:space="preserve">Un spațiu open space adecvat pentru </w:t>
      </w:r>
      <w:r>
        <w:t>zonă de networking, înregistrare, standuri informative/expo și circulația participanților.</w:t>
      </w:r>
    </w:p>
    <w:p w14:paraId="31E36C84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Toate spațiile trebuie să fie disponibile în aceeași locație și în aceeași zi, pentru o organizare coerentă a fluxului de participanți.</w:t>
      </w:r>
    </w:p>
    <w:p w14:paraId="7CC6C74F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Spațiile trebuie să fie d</w:t>
      </w:r>
      <w:r>
        <w:t>otate cu mobilier adecvat și să permită rearanjarea acestuia, după necesitățile organizatorului.</w:t>
      </w:r>
    </w:p>
    <w:p w14:paraId="70D92D37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Locația trebuie să asigure echipamentul tehnic necesar: sistem de sonorizare, microfoane, videoproiector și/sau ecran LED, ecrane de proiecție, conexiune Wi-</w:t>
      </w:r>
      <w:r>
        <w:t>Fi stabilă și prize funcționale.</w:t>
      </w:r>
    </w:p>
    <w:p w14:paraId="56A87936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Locația trebuie să permită amplasarea materialelor de vizibilitate și branding ale evenimentului.</w:t>
      </w:r>
    </w:p>
    <w:p w14:paraId="183EEB8E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Spațiile trebuie să fie accesibile pentru persoane cu dizabilități și să asigure condiții adecvate de siguranță și acces.</w:t>
      </w:r>
    </w:p>
    <w:p w14:paraId="40DF5F62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Se va considera avantaj existența unei parcări sau a unor condiții facile de acces cu transportul public.</w:t>
      </w:r>
    </w:p>
    <w:p w14:paraId="422771AC" w14:textId="77777777" w:rsidR="0047717E" w:rsidRDefault="00BC3145">
      <w:pPr>
        <w:pStyle w:val="HeadingCEDA"/>
        <w:spacing w:before="200" w:after="80"/>
      </w:pPr>
      <w:r>
        <w:t>5. Servicii logistice aferente solicitate</w:t>
      </w:r>
    </w:p>
    <w:p w14:paraId="7E40BC4E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Punerea la dispoziție a sălilor și a spațiului open space p</w:t>
      </w:r>
      <w:r>
        <w:t>e întreaga durată a evenimentului.</w:t>
      </w:r>
    </w:p>
    <w:p w14:paraId="148500F6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Asistență tehnică în ziua evenimentului pentru operarea echipamentelor și remedierea promptă a eventualelor probleme tehnice.</w:t>
      </w:r>
    </w:p>
    <w:p w14:paraId="4D82A453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 xml:space="preserve">Pregătirea spațiilor înainte de eveniment și menținerea lor în condiții adecvate pe durata </w:t>
      </w:r>
      <w:r>
        <w:t>desfășurării activității.</w:t>
      </w:r>
    </w:p>
    <w:p w14:paraId="27E6DE85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Suport logistic de bază pentru organizarea fluxului de participanți, accesului în săli și funcționării echipamentelor puse la dispoziție.</w:t>
      </w:r>
    </w:p>
    <w:p w14:paraId="5EF34A0A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Posibilitatea efectuării unei vizite tehnice prealabile de către reprezentanții CEDA, da</w:t>
      </w:r>
      <w:r>
        <w:t>că va fi necesar.</w:t>
      </w:r>
    </w:p>
    <w:p w14:paraId="366C448A" w14:textId="77777777" w:rsidR="0047717E" w:rsidRDefault="00BC3145">
      <w:pPr>
        <w:pStyle w:val="HeadingCEDA"/>
        <w:spacing w:before="200" w:after="80"/>
      </w:pPr>
      <w:r>
        <w:t>6. Oferta va include cel puțin următoarele informații și documente</w:t>
      </w:r>
    </w:p>
    <w:p w14:paraId="728E32FA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Oferta financiară, exprimată în MDL, cu prezentarea clară a costurilor pe fiecare spațiu și a costului total.</w:t>
      </w:r>
    </w:p>
    <w:p w14:paraId="5446A0A6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 xml:space="preserve">Descrierea locației și a spațiilor propuse, </w:t>
      </w:r>
      <w:r>
        <w:t>inclusiv capacitatea fiecărei săli.</w:t>
      </w:r>
    </w:p>
    <w:p w14:paraId="348DD5A6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Descrierea dotărilor tehnice și a serviciilor logistice incluse.</w:t>
      </w:r>
    </w:p>
    <w:p w14:paraId="404A16E0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Fotografii relevante ale locației, sălilor și spațiului open space.</w:t>
      </w:r>
    </w:p>
    <w:p w14:paraId="755C537B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Datele juridice și de contact ale companiei/instituției ofertante.</w:t>
      </w:r>
    </w:p>
    <w:p w14:paraId="71FB9A27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Link-ul cătr</w:t>
      </w:r>
      <w:r>
        <w:t>e pagina web oficială, dacă aceasta există.</w:t>
      </w:r>
    </w:p>
    <w:p w14:paraId="5C55CFC4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Orice alte informații relevante care demonstrează capacitatea de a găzdui evenimentul în condițiile solicitate.</w:t>
      </w:r>
    </w:p>
    <w:p w14:paraId="631066F2" w14:textId="77777777" w:rsidR="0047717E" w:rsidRDefault="00BC3145">
      <w:pPr>
        <w:pStyle w:val="HeadingCEDA"/>
        <w:spacing w:before="200" w:after="80"/>
      </w:pPr>
      <w:r>
        <w:lastRenderedPageBreak/>
        <w:t>Criterii de evaluare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6463"/>
        <w:gridCol w:w="1701"/>
      </w:tblGrid>
      <w:tr w:rsidR="0047717E" w14:paraId="685BBB96" w14:textId="77777777">
        <w:trPr>
          <w:jc w:val="center"/>
        </w:trPr>
        <w:tc>
          <w:tcPr>
            <w:tcW w:w="737" w:type="dxa"/>
            <w:shd w:val="clear" w:color="auto" w:fill="D7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4A3C77" w14:textId="77777777" w:rsidR="0047717E" w:rsidRDefault="00BC3145">
            <w:pPr>
              <w:jc w:val="center"/>
            </w:pPr>
            <w:r>
              <w:rPr>
                <w:b/>
              </w:rPr>
              <w:t>Nr.</w:t>
            </w:r>
          </w:p>
        </w:tc>
        <w:tc>
          <w:tcPr>
            <w:tcW w:w="6463" w:type="dxa"/>
            <w:shd w:val="clear" w:color="auto" w:fill="D7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FE5FF2" w14:textId="77777777" w:rsidR="0047717E" w:rsidRDefault="00BC3145">
            <w:pPr>
              <w:jc w:val="center"/>
            </w:pPr>
            <w:r>
              <w:rPr>
                <w:b/>
              </w:rPr>
              <w:t>Criteriu</w:t>
            </w:r>
          </w:p>
        </w:tc>
        <w:tc>
          <w:tcPr>
            <w:tcW w:w="1701" w:type="dxa"/>
            <w:shd w:val="clear" w:color="auto" w:fill="D7E6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B3A207" w14:textId="77777777" w:rsidR="0047717E" w:rsidRDefault="00BC3145">
            <w:pPr>
              <w:jc w:val="center"/>
            </w:pPr>
            <w:r>
              <w:rPr>
                <w:b/>
              </w:rPr>
              <w:t>Pondere</w:t>
            </w:r>
          </w:p>
        </w:tc>
      </w:tr>
      <w:tr w:rsidR="0047717E" w14:paraId="02ADF518" w14:textId="77777777">
        <w:trPr>
          <w:jc w:val="center"/>
        </w:trPr>
        <w:tc>
          <w:tcPr>
            <w:tcW w:w="73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38498D" w14:textId="77777777" w:rsidR="0047717E" w:rsidRDefault="00BC3145">
            <w:pPr>
              <w:jc w:val="center"/>
            </w:pPr>
            <w:r>
              <w:t>1</w:t>
            </w:r>
          </w:p>
        </w:tc>
        <w:tc>
          <w:tcPr>
            <w:tcW w:w="64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6A7AD1" w14:textId="77777777" w:rsidR="0047717E" w:rsidRDefault="00BC3145">
            <w:r>
              <w:t xml:space="preserve">Corespunderea tehnică a spațiului și a </w:t>
            </w:r>
            <w:r>
              <w:t>condițiilor logistice solicitate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F68089" w14:textId="77777777" w:rsidR="0047717E" w:rsidRDefault="00BC3145">
            <w:pPr>
              <w:jc w:val="center"/>
            </w:pPr>
            <w:r>
              <w:t>40%</w:t>
            </w:r>
          </w:p>
        </w:tc>
      </w:tr>
      <w:tr w:rsidR="0047717E" w14:paraId="265C774B" w14:textId="77777777">
        <w:trPr>
          <w:jc w:val="center"/>
        </w:trPr>
        <w:tc>
          <w:tcPr>
            <w:tcW w:w="73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A04DB8" w14:textId="77777777" w:rsidR="0047717E" w:rsidRDefault="00BC3145">
            <w:pPr>
              <w:jc w:val="center"/>
            </w:pPr>
            <w:r>
              <w:t>2</w:t>
            </w:r>
          </w:p>
        </w:tc>
        <w:tc>
          <w:tcPr>
            <w:tcW w:w="64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D267EF" w14:textId="77777777" w:rsidR="0047717E" w:rsidRDefault="00BC3145">
            <w:r>
              <w:t>Capacitatea de organizare și disponibilitatea tuturor spațiilor în aceeași locație și în aceeași zi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EA0F5E" w14:textId="3013F864" w:rsidR="0047717E" w:rsidRDefault="00BC3145">
            <w:pPr>
              <w:jc w:val="center"/>
            </w:pPr>
            <w:r>
              <w:t>25</w:t>
            </w:r>
            <w:r>
              <w:t>%</w:t>
            </w:r>
          </w:p>
        </w:tc>
      </w:tr>
      <w:tr w:rsidR="0047717E" w14:paraId="37F8E73F" w14:textId="77777777">
        <w:trPr>
          <w:jc w:val="center"/>
        </w:trPr>
        <w:tc>
          <w:tcPr>
            <w:tcW w:w="73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595289" w14:textId="77777777" w:rsidR="0047717E" w:rsidRDefault="00BC3145">
            <w:pPr>
              <w:jc w:val="center"/>
            </w:pPr>
            <w:r>
              <w:t>3</w:t>
            </w:r>
          </w:p>
        </w:tc>
        <w:tc>
          <w:tcPr>
            <w:tcW w:w="64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C026E4" w14:textId="77777777" w:rsidR="0047717E" w:rsidRDefault="00BC3145">
            <w:r>
              <w:t>Amplasarea locației, accesibilitatea și condițiile pentru participanți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A0B97E" w14:textId="5F5A51BE" w:rsidR="0047717E" w:rsidRDefault="00517069">
            <w:pPr>
              <w:jc w:val="center"/>
            </w:pPr>
            <w:r>
              <w:t>20</w:t>
            </w:r>
            <w:r w:rsidR="00BC3145">
              <w:t>%</w:t>
            </w:r>
          </w:p>
        </w:tc>
      </w:tr>
      <w:tr w:rsidR="0047717E" w14:paraId="58F6C0BF" w14:textId="77777777">
        <w:trPr>
          <w:jc w:val="center"/>
        </w:trPr>
        <w:tc>
          <w:tcPr>
            <w:tcW w:w="73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CC38DF" w14:textId="77777777" w:rsidR="0047717E" w:rsidRDefault="00BC3145">
            <w:pPr>
              <w:jc w:val="center"/>
            </w:pPr>
            <w:r>
              <w:t>4</w:t>
            </w:r>
          </w:p>
        </w:tc>
        <w:tc>
          <w:tcPr>
            <w:tcW w:w="646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AEACCF" w14:textId="77777777" w:rsidR="0047717E" w:rsidRDefault="00BC3145">
            <w:r>
              <w:t>Oferta financiară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286D51" w14:textId="649652AD" w:rsidR="0047717E" w:rsidRDefault="00BC3145">
            <w:pPr>
              <w:jc w:val="center"/>
            </w:pPr>
            <w:r>
              <w:t>15</w:t>
            </w:r>
            <w:r>
              <w:t>%</w:t>
            </w:r>
          </w:p>
        </w:tc>
      </w:tr>
    </w:tbl>
    <w:p w14:paraId="0D4D5733" w14:textId="77777777" w:rsidR="0047717E" w:rsidRDefault="0047717E"/>
    <w:p w14:paraId="6B170402" w14:textId="77777777" w:rsidR="0047717E" w:rsidRDefault="00BC3145">
      <w:pPr>
        <w:pStyle w:val="HeadingCEDA"/>
        <w:spacing w:before="200" w:after="80"/>
      </w:pPr>
      <w:r>
        <w:t xml:space="preserve">7. </w:t>
      </w:r>
      <w:r>
        <w:t>Modalitatea de aplicare</w:t>
      </w:r>
    </w:p>
    <w:p w14:paraId="6D01C1AD" w14:textId="77777777" w:rsidR="0047717E" w:rsidRDefault="00BC3145">
      <w:pPr>
        <w:spacing w:after="80"/>
      </w:pPr>
      <w:r>
        <w:t xml:space="preserve">Oferta completă va fi transmisă la adresa de e-mail </w:t>
      </w:r>
      <w:r>
        <w:rPr>
          <w:b/>
        </w:rPr>
        <w:t>oficiu@ceda.md</w:t>
      </w:r>
      <w:r>
        <w:t xml:space="preserve"> până la data de </w:t>
      </w:r>
      <w:r>
        <w:rPr>
          <w:b/>
        </w:rPr>
        <w:t>10 aprilie 2026, ora 23:59</w:t>
      </w:r>
      <w:r>
        <w:t xml:space="preserve">, cu mențiunea: </w:t>
      </w:r>
      <w:r>
        <w:rPr>
          <w:i/>
        </w:rPr>
        <w:t>„Ofertă locație eveniment 21 mai 2026 – I-PATH Next Step”</w:t>
      </w:r>
    </w:p>
    <w:p w14:paraId="776FFAE9" w14:textId="77777777" w:rsidR="0047717E" w:rsidRDefault="00BC3145">
      <w:pPr>
        <w:pStyle w:val="HeadingCEDA"/>
        <w:spacing w:before="200" w:after="80"/>
      </w:pPr>
      <w:r>
        <w:t>8. Condiții suplimentare</w:t>
      </w:r>
    </w:p>
    <w:p w14:paraId="1DF9C098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CEDA își rezervă drept</w:t>
      </w:r>
      <w:r>
        <w:t>ul de a solicita clarificări suplimentare din partea ofertanților, dacă va considera necesar.</w:t>
      </w:r>
    </w:p>
    <w:p w14:paraId="115E5C1E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Doar ofertele care corespund cerințelor minime din prezentul ToR vor fi evaluate.</w:t>
      </w:r>
    </w:p>
    <w:p w14:paraId="6C0096A7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Selectarea finală va fi realizată în baza evaluării tehnice și financiare cu</w:t>
      </w:r>
      <w:r>
        <w:t>mulative, precum și a disponibilității locației pentru data indicată.</w:t>
      </w:r>
    </w:p>
    <w:p w14:paraId="6DA087DD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CEDA poate decide vizitarea locației înainte de semnarea contractului.</w:t>
      </w:r>
    </w:p>
    <w:p w14:paraId="42892B96" w14:textId="77777777" w:rsidR="0047717E" w:rsidRDefault="00BC3145">
      <w:pPr>
        <w:spacing w:after="60"/>
        <w:ind w:left="340" w:hanging="227"/>
      </w:pPr>
      <w:r>
        <w:rPr>
          <w:b/>
        </w:rPr>
        <w:t xml:space="preserve">• </w:t>
      </w:r>
      <w:r>
        <w:t>Contractarea se va realiza conform procedurilor interne aplicabile ale organizației și ale proiectului.</w:t>
      </w:r>
    </w:p>
    <w:sectPr w:rsidR="0047717E" w:rsidSect="007363B6">
      <w:headerReference w:type="default" r:id="rId8"/>
      <w:footerReference w:type="default" r:id="rId9"/>
      <w:pgSz w:w="12240" w:h="15840"/>
      <w:pgMar w:top="2582" w:right="1134" w:bottom="102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5527B" w14:textId="77777777" w:rsidR="00000000" w:rsidRDefault="00BC3145">
      <w:pPr>
        <w:spacing w:after="0" w:line="240" w:lineRule="auto"/>
      </w:pPr>
      <w:r>
        <w:separator/>
      </w:r>
    </w:p>
  </w:endnote>
  <w:endnote w:type="continuationSeparator" w:id="0">
    <w:p w14:paraId="1749D1AA" w14:textId="77777777" w:rsidR="00000000" w:rsidRDefault="00BC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11D2" w14:textId="77777777" w:rsidR="0047717E" w:rsidRDefault="00BC3145">
    <w:pPr>
      <w:pStyle w:val="Subsol"/>
      <w:jc w:val="center"/>
    </w:pPr>
    <w:r>
      <w:rPr>
        <w:color w:val="5A5A5A"/>
        <w:sz w:val="18"/>
      </w:rPr>
      <w:fldChar w:fldCharType="begin"/>
    </w:r>
    <w:r>
      <w:rPr>
        <w:color w:val="5A5A5A"/>
        <w:sz w:val="18"/>
      </w:rPr>
      <w:instrText xml:space="preserve"> PAGE </w:instrText>
    </w:r>
    <w:r w:rsidR="00792FA8">
      <w:rPr>
        <w:color w:val="5A5A5A"/>
        <w:sz w:val="18"/>
      </w:rPr>
      <w:fldChar w:fldCharType="separate"/>
    </w:r>
    <w:r w:rsidR="00792FA8">
      <w:rPr>
        <w:noProof/>
        <w:color w:val="5A5A5A"/>
        <w:sz w:val="18"/>
      </w:rPr>
      <w:t>1</w:t>
    </w:r>
    <w:r>
      <w:rPr>
        <w:color w:val="5A5A5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9EE8A" w14:textId="77777777" w:rsidR="00000000" w:rsidRDefault="00BC3145">
      <w:pPr>
        <w:spacing w:after="0" w:line="240" w:lineRule="auto"/>
      </w:pPr>
      <w:r>
        <w:separator/>
      </w:r>
    </w:p>
  </w:footnote>
  <w:footnote w:type="continuationSeparator" w:id="0">
    <w:p w14:paraId="23EAE29D" w14:textId="77777777" w:rsidR="00000000" w:rsidRDefault="00BC3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9985F" w14:textId="5904AD72" w:rsidR="00792FA8" w:rsidRDefault="007363B6">
    <w:pPr>
      <w:pStyle w:val="Antet"/>
    </w:pPr>
    <w:bookmarkStart w:id="0" w:name="_Hlk225343353"/>
    <w:bookmarkStart w:id="1" w:name="_Hlk225343354"/>
    <w:r w:rsidRPr="00792FA8">
      <w:drawing>
        <wp:anchor distT="0" distB="0" distL="114300" distR="114300" simplePos="0" relativeHeight="251660288" behindDoc="0" locked="0" layoutInCell="1" allowOverlap="1" wp14:anchorId="1144E675" wp14:editId="3DA4864A">
          <wp:simplePos x="0" y="0"/>
          <wp:positionH relativeFrom="column">
            <wp:posOffset>76200</wp:posOffset>
          </wp:positionH>
          <wp:positionV relativeFrom="paragraph">
            <wp:posOffset>-328295</wp:posOffset>
          </wp:positionV>
          <wp:extent cx="1114425" cy="782320"/>
          <wp:effectExtent l="0" t="0" r="9525" b="0"/>
          <wp:wrapSquare wrapText="bothSides"/>
          <wp:docPr id="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2FA8">
      <w:drawing>
        <wp:anchor distT="0" distB="0" distL="114300" distR="114300" simplePos="0" relativeHeight="251658240" behindDoc="0" locked="0" layoutInCell="1" allowOverlap="1" wp14:anchorId="76E1B94B" wp14:editId="00E16EA3">
          <wp:simplePos x="0" y="0"/>
          <wp:positionH relativeFrom="column">
            <wp:posOffset>1934845</wp:posOffset>
          </wp:positionH>
          <wp:positionV relativeFrom="paragraph">
            <wp:posOffset>-94615</wp:posOffset>
          </wp:positionV>
          <wp:extent cx="2238375" cy="432435"/>
          <wp:effectExtent l="0" t="0" r="9525" b="5715"/>
          <wp:wrapSquare wrapText="bothSides"/>
          <wp:docPr id="7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FA8" w:rsidRPr="00792FA8">
      <w:drawing>
        <wp:anchor distT="0" distB="0" distL="114300" distR="114300" simplePos="0" relativeHeight="251656192" behindDoc="0" locked="0" layoutInCell="1" allowOverlap="1" wp14:anchorId="7A5D9923" wp14:editId="459A2DCA">
          <wp:simplePos x="0" y="0"/>
          <wp:positionH relativeFrom="page">
            <wp:posOffset>5926455</wp:posOffset>
          </wp:positionH>
          <wp:positionV relativeFrom="paragraph">
            <wp:posOffset>-327660</wp:posOffset>
          </wp:positionV>
          <wp:extent cx="895350" cy="784225"/>
          <wp:effectExtent l="0" t="0" r="0" b="0"/>
          <wp:wrapSquare wrapText="bothSides"/>
          <wp:docPr id="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2C3BC2" w14:textId="1A6821E1" w:rsidR="00792FA8" w:rsidRDefault="00792FA8">
    <w:pPr>
      <w:pStyle w:val="Antet"/>
    </w:pPr>
  </w:p>
  <w:p w14:paraId="65207306" w14:textId="1D1E985C" w:rsidR="00792FA8" w:rsidRDefault="00792FA8">
    <w:pPr>
      <w:pStyle w:val="Antet"/>
    </w:pPr>
  </w:p>
  <w:p w14:paraId="2693A6F3" w14:textId="77777777" w:rsidR="00792FA8" w:rsidRDefault="00792FA8">
    <w:pPr>
      <w:pStyle w:val="Antet"/>
    </w:pPr>
  </w:p>
  <w:p w14:paraId="68E290A5" w14:textId="4F4212D1" w:rsidR="00792FA8" w:rsidRDefault="00792FA8" w:rsidP="007363B6">
    <w:pPr>
      <w:pStyle w:val="Antet"/>
      <w:jc w:val="center"/>
    </w:pPr>
    <w:r>
      <w:t>I-PATH Next Step / Innovative Path to Inclusive Employment</w:t>
    </w:r>
    <w:r w:rsidR="007363B6">
      <w:t xml:space="preserve"> </w:t>
    </w:r>
  </w:p>
  <w:p w14:paraId="34D8CD39" w14:textId="0366D0D4" w:rsidR="007363B6" w:rsidRPr="007363B6" w:rsidRDefault="007363B6" w:rsidP="007363B6">
    <w:pPr>
      <w:pStyle w:val="Antet"/>
      <w:jc w:val="center"/>
      <w:rPr>
        <w:b/>
        <w:bCs/>
      </w:rPr>
    </w:pPr>
    <w:r w:rsidRPr="007363B6">
      <w:rPr>
        <w:b/>
        <w:bCs/>
      </w:rPr>
      <w:t>I-APTH II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717E"/>
    <w:rsid w:val="00517069"/>
    <w:rsid w:val="006A5F86"/>
    <w:rsid w:val="007363B6"/>
    <w:rsid w:val="0073704F"/>
    <w:rsid w:val="00792FA8"/>
    <w:rsid w:val="00AA1D8D"/>
    <w:rsid w:val="00B47730"/>
    <w:rsid w:val="00BC314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0EEE3C"/>
  <w14:defaultImageDpi w14:val="300"/>
  <w15:docId w15:val="{3B2A8999-9F0F-4935-8616-FAFDCF41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21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EDA">
    <w:name w:val="TitleCEDA"/>
    <w:rPr>
      <w:rFonts w:ascii="Aptos" w:eastAsia="Aptos" w:hAnsi="Aptos"/>
      <w:b/>
      <w:color w:val="1A4A7A"/>
      <w:sz w:val="36"/>
    </w:rPr>
  </w:style>
  <w:style w:type="paragraph" w:customStyle="1" w:styleId="HeadingCEDA">
    <w:name w:val="HeadingCEDA"/>
    <w:rPr>
      <w:rFonts w:ascii="Aptos" w:eastAsia="Aptos" w:hAnsi="Aptos"/>
      <w:b/>
      <w:color w:val="1A4A7A"/>
      <w:sz w:val="25"/>
    </w:rPr>
  </w:style>
  <w:style w:type="paragraph" w:customStyle="1" w:styleId="SubCEDA">
    <w:name w:val="SubCEDA"/>
    <w:rPr>
      <w:rFonts w:ascii="Aptos" w:eastAsia="Aptos" w:hAnsi="Aptos"/>
      <w:b/>
      <w:color w:val="1A4A7A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 Corcodel</cp:lastModifiedBy>
  <cp:revision>2</cp:revision>
  <dcterms:created xsi:type="dcterms:W3CDTF">2013-12-23T23:15:00Z</dcterms:created>
  <dcterms:modified xsi:type="dcterms:W3CDTF">2026-03-25T13:09:00Z</dcterms:modified>
  <cp:category/>
</cp:coreProperties>
</file>